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2F2F7BFA" w:rsidR="004F4692" w:rsidRPr="00B97F6F" w:rsidRDefault="00E0044E">
      <w:pPr>
        <w:ind w:left="-284"/>
        <w:jc w:val="both"/>
        <w:rPr>
          <w:lang w:val="fr-FR"/>
        </w:rPr>
      </w:pPr>
      <w:bookmarkStart w:id="0" w:name="_Hlk97660673"/>
      <w:r w:rsidRPr="00B97F6F">
        <w:rPr>
          <w:lang w:val="fr-FR"/>
        </w:rPr>
        <w:t>Communiqué de presse n. 1/2024</w:t>
      </w:r>
    </w:p>
    <w:p w14:paraId="01AC8927" w14:textId="77777777" w:rsidR="004F4692" w:rsidRPr="00B97F6F" w:rsidRDefault="004F4692">
      <w:pPr>
        <w:ind w:left="-284"/>
        <w:jc w:val="both"/>
        <w:rPr>
          <w:lang w:val="fr-FR"/>
        </w:rPr>
      </w:pPr>
    </w:p>
    <w:bookmarkEnd w:id="0"/>
    <w:p w14:paraId="39BBD5AE" w14:textId="69ABC814" w:rsidR="004F4692" w:rsidRPr="00B97F6F" w:rsidRDefault="00E0044E">
      <w:pPr>
        <w:pStyle w:val="P68B1DB1-Normale1"/>
        <w:ind w:left="-284" w:right="-433"/>
        <w:jc w:val="both"/>
        <w:rPr>
          <w:lang w:val="fr-FR"/>
        </w:rPr>
      </w:pPr>
      <w:r w:rsidRPr="00B97F6F">
        <w:rPr>
          <w:lang w:val="fr-FR"/>
        </w:rPr>
        <w:t>Machines agricoles</w:t>
      </w:r>
      <w:r w:rsidR="000948DC" w:rsidRPr="00B97F6F">
        <w:rPr>
          <w:lang w:val="fr-FR"/>
        </w:rPr>
        <w:t> </w:t>
      </w:r>
      <w:r w:rsidRPr="00B97F6F">
        <w:rPr>
          <w:lang w:val="fr-FR"/>
        </w:rPr>
        <w:t xml:space="preserve">: </w:t>
      </w:r>
    </w:p>
    <w:p w14:paraId="7838B760" w14:textId="30E419BB" w:rsidR="004F4692" w:rsidRPr="00B97F6F" w:rsidRDefault="00E0044E">
      <w:pPr>
        <w:pStyle w:val="P68B1DB1-Normale1"/>
        <w:ind w:left="-284" w:right="-433"/>
        <w:jc w:val="both"/>
        <w:rPr>
          <w:lang w:val="fr-FR"/>
        </w:rPr>
      </w:pPr>
      <w:r w:rsidRPr="00B97F6F">
        <w:rPr>
          <w:lang w:val="fr-FR"/>
        </w:rPr>
        <w:t>la conjoncture freine la croissance sur le marché mondial</w:t>
      </w:r>
    </w:p>
    <w:p w14:paraId="753CF61F" w14:textId="77777777" w:rsidR="004F4692" w:rsidRPr="00B97F6F" w:rsidRDefault="004F4692">
      <w:pPr>
        <w:ind w:left="-284" w:right="-433"/>
        <w:jc w:val="both"/>
        <w:rPr>
          <w:rFonts w:cs="Times New Roman"/>
          <w:b/>
          <w:i/>
          <w:lang w:val="fr-FR"/>
        </w:rPr>
      </w:pPr>
    </w:p>
    <w:p w14:paraId="32DFC4D4" w14:textId="63829107" w:rsidR="004F4692" w:rsidRPr="00B97F6F" w:rsidRDefault="00E0044E">
      <w:pPr>
        <w:pStyle w:val="P68B1DB1-Normale2"/>
        <w:ind w:left="-284" w:right="-433"/>
        <w:jc w:val="both"/>
        <w:rPr>
          <w:lang w:val="fr-FR"/>
        </w:rPr>
      </w:pPr>
      <w:r w:rsidRPr="00B97F6F">
        <w:rPr>
          <w:lang w:val="fr-FR"/>
        </w:rPr>
        <w:t>La crise géopolitique, l'inflation et la hausse des taux d’intérêt conditionnent les ventes qui</w:t>
      </w:r>
      <w:r w:rsidR="00C75484" w:rsidRPr="00B97F6F">
        <w:rPr>
          <w:lang w:val="fr-FR"/>
        </w:rPr>
        <w:t>,</w:t>
      </w:r>
      <w:r w:rsidRPr="00B97F6F">
        <w:rPr>
          <w:lang w:val="fr-FR"/>
        </w:rPr>
        <w:t xml:space="preserve"> jusqu'en 2022</w:t>
      </w:r>
      <w:r w:rsidR="00C75484" w:rsidRPr="00B97F6F">
        <w:rPr>
          <w:lang w:val="fr-FR"/>
        </w:rPr>
        <w:t>,</w:t>
      </w:r>
      <w:r w:rsidRPr="00B97F6F">
        <w:rPr>
          <w:lang w:val="fr-FR"/>
        </w:rPr>
        <w:t xml:space="preserve"> avaient enregistré des volumes élevés sur tous les principaux marchés. La demande potentielle reste élevée, on prévoit une croissance des flux commerciaux au cours des trois prochaines années</w:t>
      </w:r>
      <w:r w:rsidR="00562840">
        <w:rPr>
          <w:lang w:val="fr-FR"/>
        </w:rPr>
        <w:t>.</w:t>
      </w:r>
    </w:p>
    <w:p w14:paraId="4D8EC2AB" w14:textId="77777777" w:rsidR="004F4692" w:rsidRPr="00B97F6F" w:rsidRDefault="004F4692">
      <w:pPr>
        <w:ind w:left="-284" w:right="-433"/>
        <w:jc w:val="both"/>
        <w:rPr>
          <w:rFonts w:cs="Times New Roman"/>
          <w:lang w:val="fr-FR"/>
        </w:rPr>
      </w:pPr>
    </w:p>
    <w:p w14:paraId="7A926F1D" w14:textId="6138E246" w:rsidR="004F4692" w:rsidRPr="00B97F6F" w:rsidRDefault="00E0044E">
      <w:pPr>
        <w:pStyle w:val="P68B1DB1-Normale3"/>
        <w:ind w:left="-284" w:right="-433"/>
        <w:jc w:val="both"/>
        <w:rPr>
          <w:lang w:val="fr-FR"/>
        </w:rPr>
      </w:pPr>
      <w:r w:rsidRPr="00B97F6F">
        <w:rPr>
          <w:lang w:val="fr-FR"/>
        </w:rPr>
        <w:t>Le premier pas vers l’édition 2024 d'EIMA International a été franchi cet après-midi. Le grand salon de la mécanique agricole, organisé par FederUnacoma et dont la 46</w:t>
      </w:r>
      <w:r w:rsidRPr="00B97F6F">
        <w:rPr>
          <w:vertAlign w:val="superscript"/>
          <w:lang w:val="fr-FR"/>
        </w:rPr>
        <w:t>e</w:t>
      </w:r>
      <w:r w:rsidRPr="00B97F6F">
        <w:rPr>
          <w:lang w:val="fr-FR"/>
        </w:rPr>
        <w:t xml:space="preserve"> édition aura lieu à la foire de Bologne du 6 au 10 novembre prochain, a été officiellement présenté lors d'une conférence de presse en streaming international. En correspondance depuis les structures de la Foire de Bologne, Mariateresa Maschio et Simona Rapastella, respectivement Présidente et Directrice Générale de FederUnacoma, ont illustré les caractéristiques de ce prestigieux salon en mettant l'accent sur les défis de la mécanique agricole et les tendances qui caractérisent le marché du secteur. </w:t>
      </w:r>
    </w:p>
    <w:p w14:paraId="6376AE67" w14:textId="26D0D536" w:rsidR="004F4692" w:rsidRPr="00B97F6F" w:rsidRDefault="00E0044E">
      <w:pPr>
        <w:pStyle w:val="P68B1DB1-Normale3"/>
        <w:ind w:left="-284" w:right="-433"/>
        <w:jc w:val="both"/>
        <w:rPr>
          <w:lang w:val="fr-FR"/>
        </w:rPr>
      </w:pPr>
      <w:r w:rsidRPr="00B97F6F">
        <w:rPr>
          <w:lang w:val="fr-FR"/>
        </w:rPr>
        <w:t>«</w:t>
      </w:r>
      <w:r w:rsidR="000948DC" w:rsidRPr="00B97F6F">
        <w:rPr>
          <w:lang w:val="fr-FR"/>
        </w:rPr>
        <w:t> </w:t>
      </w:r>
      <w:r w:rsidRPr="00B97F6F">
        <w:rPr>
          <w:lang w:val="fr-FR"/>
        </w:rPr>
        <w:t xml:space="preserve">EIMA International est un événement d'une importance </w:t>
      </w:r>
      <w:r w:rsidR="00D71957">
        <w:rPr>
          <w:lang w:val="fr-FR"/>
        </w:rPr>
        <w:t>capitale</w:t>
      </w:r>
      <w:r w:rsidRPr="00B97F6F">
        <w:rPr>
          <w:lang w:val="fr-FR"/>
        </w:rPr>
        <w:t xml:space="preserve"> du point de vue promotionnel et commercial - a déclaré Mariateresa Maschio </w:t>
      </w:r>
      <w:r w:rsidR="008C4D89" w:rsidRPr="00B97F6F">
        <w:rPr>
          <w:lang w:val="fr-FR"/>
        </w:rPr>
        <w:t>en ouverture de</w:t>
      </w:r>
      <w:r w:rsidRPr="00B97F6F">
        <w:rPr>
          <w:lang w:val="fr-FR"/>
        </w:rPr>
        <w:t xml:space="preserve"> conférence  - c'est l’exposition que les fabricants du monde entier, des grandes marques mondiales aux industries plus exclusives hautement spécialisées, choisissent pour présenter leur gamme et </w:t>
      </w:r>
      <w:r w:rsidR="008C4D89" w:rsidRPr="00B97F6F">
        <w:rPr>
          <w:lang w:val="fr-FR"/>
        </w:rPr>
        <w:t>tous leurs nouveaux produits</w:t>
      </w:r>
      <w:r w:rsidR="000948DC" w:rsidRPr="00B97F6F">
        <w:rPr>
          <w:lang w:val="fr-FR"/>
        </w:rPr>
        <w:t> </w:t>
      </w:r>
      <w:r w:rsidRPr="00B97F6F">
        <w:rPr>
          <w:lang w:val="fr-FR"/>
        </w:rPr>
        <w:t xml:space="preserve">». </w:t>
      </w:r>
    </w:p>
    <w:p w14:paraId="1FE0057D" w14:textId="66261A28" w:rsidR="004F4692" w:rsidRPr="00B97F6F" w:rsidRDefault="00E0044E">
      <w:pPr>
        <w:pStyle w:val="P68B1DB1-Normale3"/>
        <w:ind w:left="-284" w:right="-433"/>
        <w:jc w:val="both"/>
        <w:rPr>
          <w:lang w:val="fr-FR"/>
        </w:rPr>
      </w:pPr>
      <w:r w:rsidRPr="00B97F6F">
        <w:rPr>
          <w:lang w:val="fr-FR"/>
        </w:rPr>
        <w:t>«</w:t>
      </w:r>
      <w:r w:rsidR="000948DC" w:rsidRPr="00B97F6F">
        <w:rPr>
          <w:lang w:val="fr-FR"/>
        </w:rPr>
        <w:t> </w:t>
      </w:r>
      <w:r w:rsidRPr="00B97F6F">
        <w:rPr>
          <w:lang w:val="fr-FR"/>
        </w:rPr>
        <w:t xml:space="preserve">Chaque pays d'Europe, d'Amérique, d'Asie, d'Afrique et d'Océanie est confronté à la nécessité de répondre à une demande croissante de produits alimentaires tant du point de vue de la quantité que de la qualité - a souligné la Présidente de FederUnacoma - et en même temps à l’urgence de réduire l’utilisation d'engrais et de pesticides, de </w:t>
      </w:r>
      <w:r w:rsidR="00E5539D" w:rsidRPr="00B97F6F">
        <w:rPr>
          <w:lang w:val="fr-FR"/>
        </w:rPr>
        <w:t>diminuer</w:t>
      </w:r>
      <w:r w:rsidRPr="00B97F6F">
        <w:rPr>
          <w:lang w:val="fr-FR"/>
        </w:rPr>
        <w:t xml:space="preserve"> considérablement la consommation d'eau, de préserver la biodiversité, d'améliorer la qualité de vie des communautés rurales. Tout cela n'est possible que grâce à une mécanisation agricole </w:t>
      </w:r>
      <w:r w:rsidR="000948DC" w:rsidRPr="00B97F6F">
        <w:rPr>
          <w:lang w:val="fr-FR"/>
        </w:rPr>
        <w:t>moderne </w:t>
      </w:r>
      <w:r w:rsidRPr="00B97F6F">
        <w:rPr>
          <w:lang w:val="fr-FR"/>
        </w:rPr>
        <w:t>». La fourniture de véhicules mécaniques est fondamentale dans chaque contexte de production et pour chaque modèle d'entreprise agricole, et la croissance de la demande est démontrée par les données de vente - diffusées au cours de la conférence - qui mettent en évidence une tendance nettement positive. Si l'on compare les niveaux de 2015 avec ceux de 2022, on constate des augmentations spectaculaires sur presque tous les marchés. Les États-Unis sont passés de 205</w:t>
      </w:r>
      <w:r w:rsidR="000948DC" w:rsidRPr="00B97F6F">
        <w:rPr>
          <w:lang w:val="fr-FR"/>
        </w:rPr>
        <w:t> </w:t>
      </w:r>
      <w:r w:rsidRPr="00B97F6F">
        <w:rPr>
          <w:lang w:val="fr-FR"/>
        </w:rPr>
        <w:t>000 tracteurs en 2015 à 271</w:t>
      </w:r>
      <w:r w:rsidR="000948DC" w:rsidRPr="00B97F6F">
        <w:rPr>
          <w:lang w:val="fr-FR"/>
        </w:rPr>
        <w:t> </w:t>
      </w:r>
      <w:r w:rsidRPr="00B97F6F">
        <w:rPr>
          <w:lang w:val="fr-FR"/>
        </w:rPr>
        <w:t>000 en 2022, l’Inde de 484</w:t>
      </w:r>
      <w:r w:rsidR="000948DC" w:rsidRPr="00B97F6F">
        <w:rPr>
          <w:lang w:val="fr-FR"/>
        </w:rPr>
        <w:t> </w:t>
      </w:r>
      <w:r w:rsidRPr="00B97F6F">
        <w:rPr>
          <w:lang w:val="fr-FR"/>
        </w:rPr>
        <w:t>000 tracteurs à 912</w:t>
      </w:r>
      <w:r w:rsidR="000948DC" w:rsidRPr="00B97F6F">
        <w:rPr>
          <w:lang w:val="fr-FR"/>
        </w:rPr>
        <w:t> </w:t>
      </w:r>
      <w:r w:rsidRPr="00B97F6F">
        <w:rPr>
          <w:lang w:val="fr-FR"/>
        </w:rPr>
        <w:t>000, l’Europe occidentale de 171</w:t>
      </w:r>
      <w:r w:rsidR="000948DC" w:rsidRPr="00B97F6F">
        <w:rPr>
          <w:lang w:val="fr-FR"/>
        </w:rPr>
        <w:t> </w:t>
      </w:r>
      <w:r w:rsidRPr="00B97F6F">
        <w:rPr>
          <w:lang w:val="fr-FR"/>
        </w:rPr>
        <w:t>000 à 196</w:t>
      </w:r>
      <w:r w:rsidR="000948DC" w:rsidRPr="00B97F6F">
        <w:rPr>
          <w:lang w:val="fr-FR"/>
        </w:rPr>
        <w:t> </w:t>
      </w:r>
      <w:r w:rsidRPr="00B97F6F">
        <w:rPr>
          <w:lang w:val="fr-FR"/>
        </w:rPr>
        <w:t>000, le Japon de 20</w:t>
      </w:r>
      <w:r w:rsidR="000948DC" w:rsidRPr="00B97F6F">
        <w:rPr>
          <w:lang w:val="fr-FR"/>
        </w:rPr>
        <w:t> </w:t>
      </w:r>
      <w:r w:rsidRPr="00B97F6F">
        <w:rPr>
          <w:lang w:val="fr-FR"/>
        </w:rPr>
        <w:t>000 à 34</w:t>
      </w:r>
      <w:r w:rsidR="000948DC" w:rsidRPr="00B97F6F">
        <w:rPr>
          <w:lang w:val="fr-FR"/>
        </w:rPr>
        <w:t> </w:t>
      </w:r>
      <w:r w:rsidRPr="00B97F6F">
        <w:rPr>
          <w:lang w:val="fr-FR"/>
        </w:rPr>
        <w:t>000 tracteurs, le Canada de 24</w:t>
      </w:r>
      <w:r w:rsidR="000948DC" w:rsidRPr="00B97F6F">
        <w:rPr>
          <w:lang w:val="fr-FR"/>
        </w:rPr>
        <w:t> </w:t>
      </w:r>
      <w:r w:rsidRPr="00B97F6F">
        <w:rPr>
          <w:lang w:val="fr-FR"/>
        </w:rPr>
        <w:t>000 à 31</w:t>
      </w:r>
      <w:r w:rsidR="000948DC" w:rsidRPr="00B97F6F">
        <w:rPr>
          <w:lang w:val="fr-FR"/>
        </w:rPr>
        <w:t> </w:t>
      </w:r>
      <w:r w:rsidRPr="00B97F6F">
        <w:rPr>
          <w:lang w:val="fr-FR"/>
        </w:rPr>
        <w:t>000, la Russie de 22</w:t>
      </w:r>
      <w:r w:rsidR="000948DC" w:rsidRPr="00B97F6F">
        <w:rPr>
          <w:lang w:val="fr-FR"/>
        </w:rPr>
        <w:t> </w:t>
      </w:r>
      <w:r w:rsidRPr="00B97F6F">
        <w:rPr>
          <w:lang w:val="fr-FR"/>
        </w:rPr>
        <w:t>000 à 35</w:t>
      </w:r>
      <w:r w:rsidR="000948DC" w:rsidRPr="00B97F6F">
        <w:rPr>
          <w:lang w:val="fr-FR"/>
        </w:rPr>
        <w:t> </w:t>
      </w:r>
      <w:r w:rsidRPr="00B97F6F">
        <w:rPr>
          <w:lang w:val="fr-FR"/>
        </w:rPr>
        <w:t xml:space="preserve">000, et tous les principaux marchés ont atteint des niveaux élevés, avec la Chine </w:t>
      </w:r>
      <w:r w:rsidR="00B97D00" w:rsidRPr="00B97F6F">
        <w:rPr>
          <w:lang w:val="fr-FR"/>
        </w:rPr>
        <w:t>approchant</w:t>
      </w:r>
      <w:r w:rsidRPr="00B97F6F">
        <w:rPr>
          <w:lang w:val="fr-FR"/>
        </w:rPr>
        <w:t xml:space="preserve"> 400</w:t>
      </w:r>
      <w:r w:rsidR="000948DC" w:rsidRPr="00B97F6F">
        <w:rPr>
          <w:lang w:val="fr-FR"/>
        </w:rPr>
        <w:t> </w:t>
      </w:r>
      <w:r w:rsidRPr="00B97F6F">
        <w:rPr>
          <w:lang w:val="fr-FR"/>
        </w:rPr>
        <w:t>000 unités et la Turquie dépassant 60</w:t>
      </w:r>
      <w:r w:rsidR="000948DC" w:rsidRPr="00B97F6F">
        <w:rPr>
          <w:lang w:val="fr-FR"/>
        </w:rPr>
        <w:t> </w:t>
      </w:r>
      <w:r w:rsidRPr="00B97F6F">
        <w:rPr>
          <w:lang w:val="fr-FR"/>
        </w:rPr>
        <w:t>000. Au cours des huit années considérées, le nombre total de tracteurs recensés est passé d'un peu plus de 1,9 million à près de 2,5 millions. En 2022</w:t>
      </w:r>
      <w:r w:rsidR="00B97D00" w:rsidRPr="00B97F6F">
        <w:rPr>
          <w:lang w:val="fr-FR"/>
        </w:rPr>
        <w:t xml:space="preserve"> – a-t-on déclaré lors de la conférence -</w:t>
      </w:r>
      <w:r w:rsidRPr="00B97F6F">
        <w:rPr>
          <w:lang w:val="fr-FR"/>
        </w:rPr>
        <w:t xml:space="preserve"> le commerce mondial des tracteurs a atteint une valeur de 29 milliards d'euros avec une augmentation de près de 35</w:t>
      </w:r>
      <w:r w:rsidR="000948DC" w:rsidRPr="00B97F6F">
        <w:rPr>
          <w:lang w:val="fr-FR"/>
        </w:rPr>
        <w:t> </w:t>
      </w:r>
      <w:r w:rsidRPr="00B97F6F">
        <w:rPr>
          <w:lang w:val="fr-FR"/>
        </w:rPr>
        <w:t>% par rapport à l'année précédente (due également à la hausse des prix), au sommet d'une tendance qui - selon les calculs effectués par Export Planning - a subi une augmentation des flux commerciaux de 4,7 % par an entre 2009 et 2022. En ce qui concerne les autres types de machines, le commerce mondial a atteint en 2022 une valeur de plus de 70 milliards d'euros (+25</w:t>
      </w:r>
      <w:r w:rsidR="000948DC" w:rsidRPr="00B97F6F">
        <w:rPr>
          <w:lang w:val="fr-FR"/>
        </w:rPr>
        <w:t> </w:t>
      </w:r>
      <w:r w:rsidRPr="00B97F6F">
        <w:rPr>
          <w:lang w:val="fr-FR"/>
        </w:rPr>
        <w:t>%) avec un taux de croissance, toujours sur la période 2009-2022, de 5,6</w:t>
      </w:r>
      <w:r w:rsidR="000948DC" w:rsidRPr="00B97F6F">
        <w:rPr>
          <w:lang w:val="fr-FR"/>
        </w:rPr>
        <w:t> </w:t>
      </w:r>
      <w:r w:rsidRPr="00B97F6F">
        <w:rPr>
          <w:lang w:val="fr-FR"/>
        </w:rPr>
        <w:t xml:space="preserve">% en moyenne par an. Il est clair qu'une tendance positive à moyen et long terme présente des fluctuations du marché déterminées par des conjonctures particulières. Le bilan 2023 met justement en évidence une baisse des ventes au niveau mondial. </w:t>
      </w:r>
    </w:p>
    <w:p w14:paraId="4A81DF96" w14:textId="77777777" w:rsidR="004F4692" w:rsidRPr="00B97F6F" w:rsidRDefault="004F4692">
      <w:pPr>
        <w:ind w:left="-284" w:right="-433"/>
        <w:jc w:val="both"/>
        <w:rPr>
          <w:rFonts w:cs="Times New Roman"/>
          <w:lang w:val="fr-FR"/>
        </w:rPr>
      </w:pPr>
    </w:p>
    <w:p w14:paraId="79161D22" w14:textId="77777777" w:rsidR="004F4692" w:rsidRPr="00B97F6F" w:rsidRDefault="004F4692">
      <w:pPr>
        <w:ind w:left="-284" w:right="-433"/>
        <w:jc w:val="both"/>
        <w:rPr>
          <w:rFonts w:cs="Times New Roman"/>
          <w:lang w:val="fr-FR"/>
        </w:rPr>
      </w:pPr>
    </w:p>
    <w:p w14:paraId="27332B8B" w14:textId="77777777" w:rsidR="004F4692" w:rsidRPr="00B97F6F" w:rsidRDefault="004F4692">
      <w:pPr>
        <w:ind w:left="-284" w:right="-433"/>
        <w:jc w:val="both"/>
        <w:rPr>
          <w:rFonts w:cs="Times New Roman"/>
          <w:lang w:val="fr-FR"/>
        </w:rPr>
      </w:pPr>
    </w:p>
    <w:p w14:paraId="17DC5C03" w14:textId="77777777" w:rsidR="004F4692" w:rsidRPr="00B97F6F" w:rsidRDefault="004F4692">
      <w:pPr>
        <w:ind w:left="-284" w:right="-433"/>
        <w:jc w:val="both"/>
        <w:rPr>
          <w:rFonts w:cs="Times New Roman"/>
          <w:lang w:val="fr-FR"/>
        </w:rPr>
      </w:pPr>
    </w:p>
    <w:p w14:paraId="78CF0929" w14:textId="1040B664" w:rsidR="004F4692" w:rsidRPr="00B97F6F" w:rsidRDefault="00E0044E">
      <w:pPr>
        <w:pStyle w:val="P68B1DB1-Normale3"/>
        <w:ind w:left="-284" w:right="-433"/>
        <w:jc w:val="both"/>
        <w:rPr>
          <w:lang w:val="fr-FR"/>
        </w:rPr>
      </w:pPr>
      <w:r w:rsidRPr="00B97F6F">
        <w:rPr>
          <w:lang w:val="fr-FR"/>
        </w:rPr>
        <w:t xml:space="preserve">Les données mises à jour en novembre de l’année dernière indiquent, </w:t>
      </w:r>
      <w:r w:rsidR="00B97D00" w:rsidRPr="00B97F6F">
        <w:rPr>
          <w:lang w:val="fr-FR"/>
        </w:rPr>
        <w:t xml:space="preserve">pour les tracteurs </w:t>
      </w:r>
      <w:r w:rsidRPr="00B97F6F">
        <w:rPr>
          <w:lang w:val="fr-FR"/>
        </w:rPr>
        <w:t>entre autres, une baisse de 8,4</w:t>
      </w:r>
      <w:r w:rsidR="000948DC" w:rsidRPr="00B97F6F">
        <w:rPr>
          <w:lang w:val="fr-FR"/>
        </w:rPr>
        <w:t> </w:t>
      </w:r>
      <w:r w:rsidRPr="00B97F6F">
        <w:rPr>
          <w:lang w:val="fr-FR"/>
        </w:rPr>
        <w:t>% aux États-Unis, de 5</w:t>
      </w:r>
      <w:r w:rsidR="000948DC" w:rsidRPr="00B97F6F">
        <w:rPr>
          <w:lang w:val="fr-FR"/>
        </w:rPr>
        <w:t> </w:t>
      </w:r>
      <w:r w:rsidRPr="00B97F6F">
        <w:rPr>
          <w:lang w:val="fr-FR"/>
        </w:rPr>
        <w:t>% en Europe et de 21</w:t>
      </w:r>
      <w:r w:rsidR="000948DC" w:rsidRPr="00B97F6F">
        <w:rPr>
          <w:lang w:val="fr-FR"/>
        </w:rPr>
        <w:t> </w:t>
      </w:r>
      <w:r w:rsidRPr="00B97F6F">
        <w:rPr>
          <w:lang w:val="fr-FR"/>
        </w:rPr>
        <w:t>% en Chine. Les facteurs qui affectent le plus le marché des machines agricoles – comme cela a été expliqué pendant la conférence de presse – sont ceux liés à l'incertitude économique, déterminée en grande partie par la guerre entre la Russie et l'Ukraine et par les listes noires et les sanctions commerciales qui en découlent, et maintenant aggravée par le nouveau conflit au Moyen-Orient. Mais l’inflation  - qui a entraîné</w:t>
      </w:r>
      <w:r w:rsidR="00B97D00" w:rsidRPr="00B97F6F">
        <w:rPr>
          <w:lang w:val="fr-FR"/>
        </w:rPr>
        <w:t>,</w:t>
      </w:r>
      <w:r w:rsidRPr="00B97F6F">
        <w:rPr>
          <w:lang w:val="fr-FR"/>
        </w:rPr>
        <w:t xml:space="preserve"> surtout en Europe</w:t>
      </w:r>
      <w:r w:rsidR="00B97D00" w:rsidRPr="00B97F6F">
        <w:rPr>
          <w:lang w:val="fr-FR"/>
        </w:rPr>
        <w:t>,</w:t>
      </w:r>
      <w:r w:rsidRPr="00B97F6F">
        <w:rPr>
          <w:lang w:val="fr-FR"/>
        </w:rPr>
        <w:t xml:space="preserve"> une augmentation sensible des coûts de production et donc du prix final des machines - a également un poids déterminant et </w:t>
      </w:r>
      <w:r w:rsidR="00B97D00" w:rsidRPr="00B97F6F">
        <w:rPr>
          <w:lang w:val="fr-FR"/>
        </w:rPr>
        <w:t>notamment</w:t>
      </w:r>
      <w:r w:rsidRPr="00B97F6F">
        <w:rPr>
          <w:lang w:val="fr-FR"/>
        </w:rPr>
        <w:t xml:space="preserve"> la hausse des taux d’intérêt, pratiquée en premier lieu par les banques centrales européennes et américaines. «</w:t>
      </w:r>
      <w:r w:rsidR="000948DC" w:rsidRPr="00B97F6F">
        <w:rPr>
          <w:lang w:val="fr-FR"/>
        </w:rPr>
        <w:t> </w:t>
      </w:r>
      <w:r w:rsidRPr="00B97F6F">
        <w:rPr>
          <w:lang w:val="fr-FR"/>
        </w:rPr>
        <w:t xml:space="preserve">Une fois cette phase surmontée – a </w:t>
      </w:r>
      <w:r w:rsidR="00B97D00" w:rsidRPr="00B97F6F">
        <w:rPr>
          <w:lang w:val="fr-FR"/>
        </w:rPr>
        <w:t>déclaré</w:t>
      </w:r>
      <w:r w:rsidRPr="00B97F6F">
        <w:rPr>
          <w:lang w:val="fr-FR"/>
        </w:rPr>
        <w:t xml:space="preserve"> Mariateresa Maschio</w:t>
      </w:r>
      <w:r w:rsidR="00B97D00" w:rsidRPr="00B97F6F">
        <w:rPr>
          <w:lang w:val="fr-FR"/>
        </w:rPr>
        <w:t xml:space="preserve"> en conclusion</w:t>
      </w:r>
      <w:r w:rsidRPr="00B97F6F">
        <w:rPr>
          <w:lang w:val="fr-FR"/>
        </w:rPr>
        <w:t xml:space="preserve"> – le marché reprendra sa croissance face à une demande qui ne faiblit pas. En ce qui concerne le commerce des machines agricoles, les prévisions effectuées par Export Planning pour l'avenir proche confirment la tendance positive, avec des augmentations moyennes annuelles de 6,3</w:t>
      </w:r>
      <w:r w:rsidR="000948DC" w:rsidRPr="00B97F6F">
        <w:rPr>
          <w:lang w:val="fr-FR"/>
        </w:rPr>
        <w:t> </w:t>
      </w:r>
      <w:r w:rsidRPr="00B97F6F">
        <w:rPr>
          <w:lang w:val="fr-FR"/>
        </w:rPr>
        <w:t>% jusqu'en 2027 pour les tracteurs et de 5,9</w:t>
      </w:r>
      <w:r w:rsidR="000948DC" w:rsidRPr="00B97F6F">
        <w:rPr>
          <w:lang w:val="fr-FR"/>
        </w:rPr>
        <w:t> </w:t>
      </w:r>
      <w:r w:rsidRPr="00B97F6F">
        <w:rPr>
          <w:lang w:val="fr-FR"/>
        </w:rPr>
        <w:t xml:space="preserve">% pour les autres types de machines. L’EIMA de Bologne </w:t>
      </w:r>
      <w:r w:rsidR="00B97D00" w:rsidRPr="00B97F6F">
        <w:rPr>
          <w:lang w:val="fr-FR"/>
        </w:rPr>
        <w:t>représentera</w:t>
      </w:r>
      <w:r w:rsidRPr="00B97F6F">
        <w:rPr>
          <w:lang w:val="fr-FR"/>
        </w:rPr>
        <w:t xml:space="preserve"> une fois de plus le moteur de l'innovation, l’élément qui projette l’agriculture vers l'avenir</w:t>
      </w:r>
      <w:r w:rsidR="000948DC" w:rsidRPr="00B97F6F">
        <w:rPr>
          <w:lang w:val="fr-FR"/>
        </w:rPr>
        <w:t> </w:t>
      </w:r>
      <w:r w:rsidRPr="00B97F6F">
        <w:rPr>
          <w:lang w:val="fr-FR"/>
        </w:rPr>
        <w:t>».</w:t>
      </w:r>
    </w:p>
    <w:p w14:paraId="18C387AD" w14:textId="77777777" w:rsidR="004F4692" w:rsidRPr="00B97F6F" w:rsidRDefault="004F4692">
      <w:pPr>
        <w:ind w:left="-284" w:right="-433"/>
        <w:jc w:val="both"/>
        <w:rPr>
          <w:rFonts w:eastAsiaTheme="minorEastAsia" w:cs="Times New Roman"/>
          <w:color w:val="auto"/>
          <w:lang w:val="fr-FR"/>
        </w:rPr>
      </w:pPr>
    </w:p>
    <w:p w14:paraId="2038C21B" w14:textId="55CBB0A0" w:rsidR="004F4692" w:rsidRPr="00B97F6F" w:rsidRDefault="00E0044E">
      <w:pPr>
        <w:pStyle w:val="P68B1DB1-Normale4"/>
        <w:ind w:left="-284"/>
        <w:jc w:val="both"/>
        <w:rPr>
          <w:lang w:val="fr-FR"/>
        </w:rPr>
      </w:pPr>
      <w:r w:rsidRPr="00B97F6F">
        <w:rPr>
          <w:lang w:val="fr-FR"/>
        </w:rPr>
        <w:t>Bologne, le 18 janvier 2024</w:t>
      </w:r>
    </w:p>
    <w:p w14:paraId="763B532A" w14:textId="2FA7B36E" w:rsidR="004F4692" w:rsidRPr="00B97F6F" w:rsidRDefault="004F4692">
      <w:pPr>
        <w:ind w:left="-142"/>
        <w:jc w:val="both"/>
        <w:rPr>
          <w:rFonts w:eastAsia="Calibri" w:cs="Times New Roman"/>
          <w:b/>
          <w:lang w:val="fr-FR"/>
        </w:rPr>
      </w:pPr>
    </w:p>
    <w:sectPr w:rsidR="004F4692" w:rsidRPr="00B97F6F">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05E1" w14:textId="77777777" w:rsidR="005C3154" w:rsidRDefault="005C3154">
      <w:r>
        <w:separator/>
      </w:r>
    </w:p>
  </w:endnote>
  <w:endnote w:type="continuationSeparator" w:id="0">
    <w:p w14:paraId="73A00FD0" w14:textId="77777777" w:rsidR="005C3154" w:rsidRDefault="005C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A698" w14:textId="77777777" w:rsidR="005C3154" w:rsidRDefault="005C3154">
      <w:r>
        <w:separator/>
      </w:r>
    </w:p>
  </w:footnote>
  <w:footnote w:type="continuationSeparator" w:id="0">
    <w:p w14:paraId="6CC85E5F" w14:textId="77777777" w:rsidR="005C3154" w:rsidRDefault="005C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4F4692" w:rsidRDefault="00000000">
    <w:pPr>
      <w:pStyle w:val="Intestazione"/>
      <w:tabs>
        <w:tab w:val="clear" w:pos="9638"/>
        <w:tab w:val="right" w:pos="7485"/>
      </w:tabs>
    </w:pPr>
    <w:sdt>
      <w:sdtPr>
        <w:id w:val="-1786807496"/>
        <w:docPartObj>
          <w:docPartGallery w:val="Page Numbers (Margins)"/>
          <w:docPartUnique/>
        </w:docPartObj>
      </w:sdtPr>
      <w:sdtContent>
        <w:r w:rsidR="00E0044E">
          <w:rPr>
            <w:noProof/>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4F4692" w:rsidRDefault="00E0044E">
                                <w:pPr>
                                  <w:pStyle w:val="P68B1DB1-Intestazione5"/>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4F4692" w:rsidRDefault="00E0044E">
                          <w:pPr>
                            <w:pStyle w:val="P68B1DB1-Intestazione5"/>
                            <w:jc w:val="center"/>
                          </w:pPr>
                          <w:r>
                            <w:fldChar w:fldCharType="begin"/>
                          </w:r>
                          <w:r>
                            <w:instrText>PAGE    \* MERGEFORMAT</w:instrText>
                          </w:r>
                          <w:r>
                            <w:fldChar w:fldCharType="separate"/>
                          </w:r>
                          <w:r>
                            <w:rPr>
                              <w:rStyle w:val="Numeropagina"/>
                              <w:b/>
                              <w:color w:val="3F3151" w:themeColor="accent4" w:themeShade="7F"/>
                              <w:sz w:val="16"/>
                            </w:rPr>
                            <w:t>1</w:t>
                          </w:r>
                          <w:r>
                            <w:rPr>
                              <w:rStyle w:val="Numeropagina"/>
                              <w:b/>
                              <w:color w:val="3F3151" w:themeColor="accent4" w:themeShade="7F"/>
                              <w:sz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E0044E">
      <w:rPr>
        <w:noProof/>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25E3F"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E0044E">
      <w:rPr>
        <w:noProof/>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E0044E">
      <w:rPr>
        <w:noProof/>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4F4692" w:rsidRDefault="00E0044E">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4F4692" w:rsidRDefault="00E0044E">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2389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48DC"/>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1E45"/>
    <w:rsid w:val="00473436"/>
    <w:rsid w:val="004770F1"/>
    <w:rsid w:val="00477EB0"/>
    <w:rsid w:val="00486E84"/>
    <w:rsid w:val="004A116C"/>
    <w:rsid w:val="004A3C40"/>
    <w:rsid w:val="004B0C24"/>
    <w:rsid w:val="004B1382"/>
    <w:rsid w:val="004B1A0F"/>
    <w:rsid w:val="004E7D68"/>
    <w:rsid w:val="004F4692"/>
    <w:rsid w:val="004F7D4D"/>
    <w:rsid w:val="0050493A"/>
    <w:rsid w:val="0050717F"/>
    <w:rsid w:val="0051665A"/>
    <w:rsid w:val="0052020C"/>
    <w:rsid w:val="00531CA3"/>
    <w:rsid w:val="005363D1"/>
    <w:rsid w:val="00541D2D"/>
    <w:rsid w:val="00560CC7"/>
    <w:rsid w:val="00562840"/>
    <w:rsid w:val="005646BB"/>
    <w:rsid w:val="005760BB"/>
    <w:rsid w:val="00577457"/>
    <w:rsid w:val="00592561"/>
    <w:rsid w:val="005A5F9E"/>
    <w:rsid w:val="005B1E4C"/>
    <w:rsid w:val="005B2322"/>
    <w:rsid w:val="005B51B0"/>
    <w:rsid w:val="005B5F74"/>
    <w:rsid w:val="005B649F"/>
    <w:rsid w:val="005C1824"/>
    <w:rsid w:val="005C3154"/>
    <w:rsid w:val="005C4F52"/>
    <w:rsid w:val="005E71D7"/>
    <w:rsid w:val="006063EA"/>
    <w:rsid w:val="006121B5"/>
    <w:rsid w:val="00622248"/>
    <w:rsid w:val="0062254E"/>
    <w:rsid w:val="006235D9"/>
    <w:rsid w:val="00626EBC"/>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2BB5"/>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4D89"/>
    <w:rsid w:val="008C6C11"/>
    <w:rsid w:val="008D1A58"/>
    <w:rsid w:val="008F1BC2"/>
    <w:rsid w:val="008F5AD0"/>
    <w:rsid w:val="008F66F0"/>
    <w:rsid w:val="009124FE"/>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75F26"/>
    <w:rsid w:val="00B90224"/>
    <w:rsid w:val="00B95369"/>
    <w:rsid w:val="00B97D00"/>
    <w:rsid w:val="00B97F6F"/>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75484"/>
    <w:rsid w:val="00C82BE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1957"/>
    <w:rsid w:val="00D722A1"/>
    <w:rsid w:val="00DC1CB4"/>
    <w:rsid w:val="00DE3A07"/>
    <w:rsid w:val="00DE4119"/>
    <w:rsid w:val="00DF254C"/>
    <w:rsid w:val="00E0044E"/>
    <w:rsid w:val="00E018ED"/>
    <w:rsid w:val="00E264AA"/>
    <w:rsid w:val="00E2650D"/>
    <w:rsid w:val="00E273DF"/>
    <w:rsid w:val="00E5539D"/>
    <w:rsid w:val="00E554B1"/>
    <w:rsid w:val="00E7611F"/>
    <w:rsid w:val="00E76A4B"/>
    <w:rsid w:val="00E80F2F"/>
    <w:rsid w:val="00E95EA3"/>
    <w:rsid w:val="00EB3652"/>
    <w:rsid w:val="00EC5741"/>
    <w:rsid w:val="00F1367E"/>
    <w:rsid w:val="00F42DC9"/>
    <w:rsid w:val="00F46B54"/>
    <w:rsid w:val="00F50302"/>
    <w:rsid w:val="00F52270"/>
    <w:rsid w:val="00F63D4D"/>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u w:color="000000"/>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color w:val="auto"/>
      <w:kern w:val="36"/>
      <w:sz w:val="48"/>
      <w:bdr w:val="none" w:sz="0" w:space="0" w:color="auto"/>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u w:color="000000"/>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u w:color="000000"/>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rPr>
  </w:style>
  <w:style w:type="paragraph" w:styleId="Testocommento">
    <w:name w:val="annotation text"/>
    <w:basedOn w:val="Normale"/>
    <w:link w:val="TestocommentoCarattere"/>
    <w:uiPriority w:val="99"/>
    <w:semiHidden/>
    <w:unhideWhenUsed/>
    <w:rsid w:val="006121B5"/>
    <w:rPr>
      <w:sz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121B5"/>
    <w:rPr>
      <w:b/>
    </w:rPr>
  </w:style>
  <w:style w:type="character" w:customStyle="1" w:styleId="SoggettocommentoCarattere">
    <w:name w:val="Soggetto commento Carattere"/>
    <w:basedOn w:val="TestocommentoCarattere"/>
    <w:link w:val="Soggettocommento"/>
    <w:uiPriority w:val="99"/>
    <w:semiHidden/>
    <w:rsid w:val="006121B5"/>
    <w:rPr>
      <w:rFonts w:cs="Arial Unicode MS"/>
      <w:b/>
      <w:color w:val="000000"/>
      <w:u w:color="000000"/>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u w:color="000000"/>
    </w:rPr>
  </w:style>
  <w:style w:type="character" w:customStyle="1" w:styleId="Titolo1Carattere">
    <w:name w:val="Titolo 1 Carattere"/>
    <w:basedOn w:val="Carpredefinitoparagrafo"/>
    <w:link w:val="Titolo1"/>
    <w:uiPriority w:val="9"/>
    <w:rsid w:val="00BA004C"/>
    <w:rPr>
      <w:rFonts w:eastAsia="Times New Roman"/>
      <w:b/>
      <w:kern w:val="36"/>
      <w:sz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u w:color="000000"/>
    </w:rPr>
  </w:style>
  <w:style w:type="character" w:customStyle="1" w:styleId="IntestazioneCarattere">
    <w:name w:val="Intestazione Carattere"/>
    <w:basedOn w:val="Carpredefinitoparagrafo"/>
    <w:link w:val="Intestazione"/>
    <w:uiPriority w:val="99"/>
    <w:rsid w:val="007E7D8A"/>
    <w:rPr>
      <w:rFonts w:cs="Arial Unicode MS"/>
      <w:color w:val="000000"/>
      <w:sz w:val="24"/>
      <w:u w:color="000000"/>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u w:color="000000"/>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P68B1DB1-Normale1">
    <w:name w:val="P68B1DB1-Normale1"/>
    <w:basedOn w:val="Normale"/>
    <w:rPr>
      <w:rFonts w:cs="Times New Roman"/>
      <w:b/>
      <w:sz w:val="28"/>
    </w:rPr>
  </w:style>
  <w:style w:type="paragraph" w:customStyle="1" w:styleId="P68B1DB1-Normale2">
    <w:name w:val="P68B1DB1-Normale2"/>
    <w:basedOn w:val="Normale"/>
    <w:rPr>
      <w:rFonts w:cs="Times New Roman"/>
      <w:b/>
      <w:i/>
    </w:rPr>
  </w:style>
  <w:style w:type="paragraph" w:customStyle="1" w:styleId="P68B1DB1-Normale3">
    <w:name w:val="P68B1DB1-Normale3"/>
    <w:basedOn w:val="Normale"/>
    <w:rPr>
      <w:rFonts w:cs="Times New Roman"/>
    </w:rPr>
  </w:style>
  <w:style w:type="paragraph" w:customStyle="1" w:styleId="P68B1DB1-Normale4">
    <w:name w:val="P68B1DB1-Normale4"/>
    <w:basedOn w:val="Normale"/>
    <w:rPr>
      <w:b/>
    </w:rPr>
  </w:style>
  <w:style w:type="paragraph" w:customStyle="1" w:styleId="P68B1DB1-Intestazione5">
    <w:name w:val="P68B1DB1-Intestazione5"/>
    <w:basedOn w:val="Intestazione"/>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5FDCE-8D26-463D-9BAE-8AB3CA40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2024-01-18T10:36:00Z</dcterms:created>
  <dcterms:modified xsi:type="dcterms:W3CDTF">2024-01-18T10:37:00Z</dcterms:modified>
</cp:coreProperties>
</file>